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CE1D4" w14:textId="77777777" w:rsidR="00586487" w:rsidRDefault="00586F9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</w:rPr>
      </w:pPr>
      <w:r>
        <w:rPr>
          <w:noProof/>
          <w:color w:val="000000"/>
        </w:rPr>
        <w:drawing>
          <wp:inline distT="19050" distB="19050" distL="19050" distR="19050" wp14:anchorId="360568A9" wp14:editId="7F04D490">
            <wp:extent cx="2419666" cy="1113475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/>
                    <pic:cNvPicPr preferRelativeResize="0"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55" r="5055"/>
                    <a:stretch>
                      <a:fillRect/>
                    </a:stretch>
                  </pic:blipFill>
                  <pic:spPr>
                    <a:xfrm>
                      <a:off x="0" y="0"/>
                      <a:ext cx="2419666" cy="1113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94052DD" w14:textId="77777777" w:rsidR="00586487" w:rsidRDefault="00586F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6" w:line="240" w:lineRule="auto"/>
        <w:jc w:val="center"/>
        <w:rPr>
          <w:rFonts w:ascii="Calibri" w:eastAsia="Calibri" w:hAnsi="Calibri" w:cs="Calibri"/>
          <w:b/>
          <w:sz w:val="40"/>
          <w:szCs w:val="40"/>
        </w:rPr>
      </w:pPr>
      <w:r>
        <w:rPr>
          <w:rFonts w:ascii="Calibri" w:eastAsia="Calibri" w:hAnsi="Calibri" w:cs="Calibri"/>
          <w:b/>
          <w:color w:val="000000"/>
          <w:sz w:val="40"/>
          <w:szCs w:val="40"/>
        </w:rPr>
        <w:t xml:space="preserve">Required Acknowledgment </w:t>
      </w:r>
    </w:p>
    <w:p w14:paraId="23B7C1C0" w14:textId="59015CBE" w:rsidR="00586487" w:rsidRDefault="00586F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7" w:line="243" w:lineRule="auto"/>
        <w:ind w:left="3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 xml:space="preserve">Awarded funds are provided by </w:t>
      </w:r>
      <w:r w:rsidR="00CC7C7E">
        <w:rPr>
          <w:rFonts w:ascii="Calibri" w:eastAsia="Calibri" w:hAnsi="Calibri" w:cs="Calibri"/>
          <w:color w:val="000000"/>
          <w:sz w:val="28"/>
          <w:szCs w:val="28"/>
        </w:rPr>
        <w:t>the Mississippi Humanities Council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through a </w:t>
      </w:r>
      <w:r w:rsidR="00CC7C7E">
        <w:rPr>
          <w:rFonts w:ascii="Calibri" w:eastAsia="Calibri" w:hAnsi="Calibri" w:cs="Calibri"/>
          <w:color w:val="000000"/>
          <w:sz w:val="28"/>
          <w:szCs w:val="28"/>
        </w:rPr>
        <w:t>grant from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the National Endowment for the Humanities. All materials publicizing or resulting from award activities must contain an acknowledgment of </w:t>
      </w:r>
      <w:r w:rsidR="00CC7C7E">
        <w:rPr>
          <w:rFonts w:ascii="Calibri" w:eastAsia="Calibri" w:hAnsi="Calibri" w:cs="Calibri"/>
          <w:color w:val="000000"/>
          <w:sz w:val="28"/>
          <w:szCs w:val="28"/>
        </w:rPr>
        <w:t>the Mississippi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Humanities </w:t>
      </w:r>
      <w:r w:rsidR="00CC7C7E">
        <w:rPr>
          <w:rFonts w:ascii="Calibri" w:eastAsia="Calibri" w:hAnsi="Calibri" w:cs="Calibri"/>
          <w:color w:val="000000"/>
          <w:sz w:val="28"/>
          <w:szCs w:val="28"/>
        </w:rPr>
        <w:t xml:space="preserve">Council 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and the National Endowment for the Humanities support and carry the appropriate logos. </w:t>
      </w:r>
    </w:p>
    <w:p w14:paraId="5B90B7F1" w14:textId="77777777" w:rsidR="00586487" w:rsidRDefault="00586F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7" w:line="243" w:lineRule="auto"/>
        <w:ind w:left="3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All public announcements of this award are required to contain the following acknowledgement:</w:t>
      </w:r>
    </w:p>
    <w:p w14:paraId="59ED868B" w14:textId="08E614CA" w:rsidR="00586487" w:rsidRDefault="00586F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7" w:line="243" w:lineRule="auto"/>
        <w:ind w:left="3"/>
        <w:rPr>
          <w:rFonts w:ascii="Calibri" w:eastAsia="Calibri" w:hAnsi="Calibri" w:cs="Calibri"/>
          <w:i/>
          <w:sz w:val="28"/>
          <w:szCs w:val="28"/>
        </w:rPr>
      </w:pPr>
      <w:r>
        <w:rPr>
          <w:rFonts w:ascii="Calibri" w:eastAsia="Calibri" w:hAnsi="Calibri" w:cs="Calibri"/>
          <w:i/>
          <w:sz w:val="28"/>
          <w:szCs w:val="28"/>
        </w:rPr>
        <w:t xml:space="preserve">Funding has been provided to </w:t>
      </w:r>
      <w:proofErr w:type="gramStart"/>
      <w:r>
        <w:rPr>
          <w:rFonts w:ascii="Calibri" w:eastAsia="Calibri" w:hAnsi="Calibri" w:cs="Calibri"/>
          <w:i/>
          <w:sz w:val="28"/>
          <w:szCs w:val="28"/>
        </w:rPr>
        <w:t>[grantee</w:t>
      </w:r>
      <w:proofErr w:type="gramEnd"/>
      <w:r>
        <w:rPr>
          <w:rFonts w:ascii="Calibri" w:eastAsia="Calibri" w:hAnsi="Calibri" w:cs="Calibri"/>
          <w:i/>
          <w:sz w:val="28"/>
          <w:szCs w:val="28"/>
        </w:rPr>
        <w:t xml:space="preserve">] by </w:t>
      </w:r>
      <w:r w:rsidR="00CC7C7E">
        <w:rPr>
          <w:rFonts w:ascii="Calibri" w:eastAsia="Calibri" w:hAnsi="Calibri" w:cs="Calibri"/>
          <w:i/>
          <w:sz w:val="28"/>
          <w:szCs w:val="28"/>
        </w:rPr>
        <w:t>the Mississippi</w:t>
      </w:r>
      <w:r>
        <w:rPr>
          <w:rFonts w:ascii="Calibri" w:eastAsia="Calibri" w:hAnsi="Calibri" w:cs="Calibri"/>
          <w:i/>
          <w:sz w:val="28"/>
          <w:szCs w:val="28"/>
        </w:rPr>
        <w:t xml:space="preserve"> Humanities </w:t>
      </w:r>
      <w:r w:rsidR="00CC7C7E">
        <w:rPr>
          <w:rFonts w:ascii="Calibri" w:eastAsia="Calibri" w:hAnsi="Calibri" w:cs="Calibri"/>
          <w:i/>
          <w:sz w:val="28"/>
          <w:szCs w:val="28"/>
        </w:rPr>
        <w:t xml:space="preserve">Council </w:t>
      </w:r>
      <w:r>
        <w:rPr>
          <w:rFonts w:ascii="Calibri" w:eastAsia="Calibri" w:hAnsi="Calibri" w:cs="Calibri"/>
          <w:i/>
          <w:sz w:val="28"/>
          <w:szCs w:val="28"/>
        </w:rPr>
        <w:t>through the National Endowment for the Humanities (NEH)</w:t>
      </w:r>
      <w:r w:rsidR="00CC7C7E">
        <w:rPr>
          <w:rFonts w:ascii="Calibri" w:eastAsia="Calibri" w:hAnsi="Calibri" w:cs="Calibri"/>
          <w:i/>
          <w:sz w:val="28"/>
          <w:szCs w:val="28"/>
        </w:rPr>
        <w:t>.</w:t>
      </w:r>
    </w:p>
    <w:p w14:paraId="084F7537" w14:textId="0172B1D1" w:rsidR="00586487" w:rsidRDefault="00586F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7" w:line="243" w:lineRule="auto"/>
        <w:ind w:left="3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Whenever possible, the acknowledgment should also include the </w:t>
      </w:r>
      <w:r w:rsidR="00CC7C7E">
        <w:rPr>
          <w:rFonts w:ascii="Calibri" w:eastAsia="Calibri" w:hAnsi="Calibri" w:cs="Calibri"/>
          <w:b/>
          <w:sz w:val="28"/>
          <w:szCs w:val="28"/>
        </w:rPr>
        <w:t>the MHC</w:t>
      </w:r>
      <w:r>
        <w:rPr>
          <w:rFonts w:ascii="Calibri" w:eastAsia="Calibri" w:hAnsi="Calibri" w:cs="Calibri"/>
          <w:b/>
          <w:sz w:val="28"/>
          <w:szCs w:val="28"/>
        </w:rPr>
        <w:t xml:space="preserve"> and NEH logos, with the following disclaimer statement:</w:t>
      </w:r>
    </w:p>
    <w:p w14:paraId="070F8D7D" w14:textId="22E51471" w:rsidR="005768BF" w:rsidRPr="005768BF" w:rsidRDefault="00586F90" w:rsidP="005768B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7" w:line="243" w:lineRule="auto"/>
        <w:ind w:left="3"/>
        <w:rPr>
          <w:rFonts w:ascii="Calibri" w:eastAsia="Calibri" w:hAnsi="Calibri" w:cs="Calibri"/>
          <w:i/>
          <w:sz w:val="28"/>
          <w:szCs w:val="28"/>
        </w:rPr>
      </w:pPr>
      <w:r>
        <w:rPr>
          <w:rFonts w:ascii="Calibri" w:eastAsia="Calibri" w:hAnsi="Calibri" w:cs="Calibri"/>
          <w:i/>
          <w:sz w:val="28"/>
          <w:szCs w:val="28"/>
        </w:rPr>
        <w:t xml:space="preserve">Any views, findings, conclusions, or recommendations expressed by (grantee), do not necessarily represent those of </w:t>
      </w:r>
      <w:r w:rsidR="00CC7C7E">
        <w:rPr>
          <w:rFonts w:ascii="Calibri" w:eastAsia="Calibri" w:hAnsi="Calibri" w:cs="Calibri"/>
          <w:i/>
          <w:sz w:val="28"/>
          <w:szCs w:val="28"/>
        </w:rPr>
        <w:t xml:space="preserve">the Mississippi </w:t>
      </w:r>
      <w:r>
        <w:rPr>
          <w:rFonts w:ascii="Calibri" w:eastAsia="Calibri" w:hAnsi="Calibri" w:cs="Calibri"/>
          <w:i/>
          <w:sz w:val="28"/>
          <w:szCs w:val="28"/>
        </w:rPr>
        <w:t>Humanities</w:t>
      </w:r>
      <w:r w:rsidR="00CC7C7E">
        <w:rPr>
          <w:rFonts w:ascii="Calibri" w:eastAsia="Calibri" w:hAnsi="Calibri" w:cs="Calibri"/>
          <w:i/>
          <w:sz w:val="28"/>
          <w:szCs w:val="28"/>
        </w:rPr>
        <w:t xml:space="preserve"> Council</w:t>
      </w:r>
      <w:r>
        <w:rPr>
          <w:rFonts w:ascii="Calibri" w:eastAsia="Calibri" w:hAnsi="Calibri" w:cs="Calibri"/>
          <w:i/>
          <w:sz w:val="28"/>
          <w:szCs w:val="28"/>
        </w:rPr>
        <w:t xml:space="preserve"> or the National Endowment for the Humanities.</w:t>
      </w:r>
    </w:p>
    <w:p w14:paraId="7AB3AB41" w14:textId="26D43971" w:rsidR="005768BF" w:rsidRPr="002A0C54" w:rsidRDefault="005768BF" w:rsidP="005768BF">
      <w:pPr>
        <w:pStyle w:val="xmsonormal"/>
        <w:rPr>
          <w:color w:val="000000" w:themeColor="text1"/>
          <w:sz w:val="18"/>
          <w:szCs w:val="18"/>
        </w:rPr>
      </w:pPr>
    </w:p>
    <w:p w14:paraId="02A2AE4D" w14:textId="3DEB4DAC" w:rsidR="00586487" w:rsidRPr="002A0C54" w:rsidRDefault="00586487" w:rsidP="005768BF">
      <w:pPr>
        <w:pStyle w:val="xmsonormal"/>
        <w:rPr>
          <w:color w:val="000000" w:themeColor="text1"/>
          <w:sz w:val="18"/>
          <w:szCs w:val="18"/>
        </w:rPr>
      </w:pPr>
    </w:p>
    <w:sectPr w:rsidR="00586487" w:rsidRPr="002A0C54">
      <w:pgSz w:w="12240" w:h="15840"/>
      <w:pgMar w:top="503" w:right="2135" w:bottom="556" w:left="216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487"/>
    <w:rsid w:val="002A0C54"/>
    <w:rsid w:val="003C4CA4"/>
    <w:rsid w:val="005768BF"/>
    <w:rsid w:val="00586487"/>
    <w:rsid w:val="00586F90"/>
    <w:rsid w:val="00CC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8AFF2"/>
  <w15:docId w15:val="{9B8FFBE7-FF5A-45FF-B10B-D825B212D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xmsonormal">
    <w:name w:val="x_msonormal"/>
    <w:basedOn w:val="Normal"/>
    <w:rsid w:val="00CC7C7E"/>
    <w:pPr>
      <w:spacing w:line="240" w:lineRule="auto"/>
    </w:pPr>
    <w:rPr>
      <w:rFonts w:ascii="Calibri" w:eastAsiaTheme="minorHAnsi" w:hAnsi="Calibri" w:cs="Calibri"/>
    </w:rPr>
  </w:style>
  <w:style w:type="character" w:styleId="Hyperlink">
    <w:name w:val="Hyperlink"/>
    <w:basedOn w:val="DefaultParagraphFont"/>
    <w:uiPriority w:val="99"/>
    <w:unhideWhenUsed/>
    <w:rsid w:val="002A0C5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0C5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86F9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</dc:creator>
  <cp:lastModifiedBy>kam ridley</cp:lastModifiedBy>
  <cp:revision>2</cp:revision>
  <dcterms:created xsi:type="dcterms:W3CDTF">2023-05-18T16:48:00Z</dcterms:created>
  <dcterms:modified xsi:type="dcterms:W3CDTF">2023-05-18T16:48:00Z</dcterms:modified>
</cp:coreProperties>
</file>